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1E72" w14:textId="77777777" w:rsidR="00283D98" w:rsidRDefault="00283D98" w:rsidP="007E4B70">
      <w:pPr>
        <w:autoSpaceDE w:val="0"/>
        <w:autoSpaceDN w:val="0"/>
        <w:adjustRightInd w:val="0"/>
        <w:spacing w:after="0" w:line="240" w:lineRule="auto"/>
        <w:jc w:val="center"/>
        <w:rPr>
          <w:rFonts w:ascii="TimesNewRomanPS-BoldMT" w:hAnsi="TimesNewRomanPS-BoldMT" w:cs="TimesNewRomanPS-BoldMT"/>
          <w:b/>
          <w:bCs/>
          <w:color w:val="222222"/>
          <w:sz w:val="28"/>
          <w:szCs w:val="28"/>
        </w:rPr>
      </w:pPr>
      <w:r>
        <w:rPr>
          <w:rFonts w:ascii="TimesNewRomanPS-BoldMT" w:hAnsi="TimesNewRomanPS-BoldMT" w:cs="TimesNewRomanPS-BoldMT"/>
          <w:b/>
          <w:bCs/>
          <w:noProof/>
          <w:color w:val="222222"/>
          <w:sz w:val="28"/>
          <w:szCs w:val="28"/>
        </w:rPr>
        <w:drawing>
          <wp:inline distT="0" distB="0" distL="0" distR="0" wp14:anchorId="633586CE" wp14:editId="638638C9">
            <wp:extent cx="3776796" cy="910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97584" cy="915721"/>
                    </a:xfrm>
                    <a:prstGeom prst="rect">
                      <a:avLst/>
                    </a:prstGeom>
                  </pic:spPr>
                </pic:pic>
              </a:graphicData>
            </a:graphic>
          </wp:inline>
        </w:drawing>
      </w:r>
    </w:p>
    <w:p w14:paraId="49AAF7C5" w14:textId="12272DB4" w:rsidR="007E4B70" w:rsidRDefault="007E4B70" w:rsidP="007E4B70">
      <w:pPr>
        <w:autoSpaceDE w:val="0"/>
        <w:autoSpaceDN w:val="0"/>
        <w:adjustRightInd w:val="0"/>
        <w:spacing w:after="0" w:line="240" w:lineRule="auto"/>
        <w:jc w:val="center"/>
        <w:rPr>
          <w:rFonts w:ascii="TimesNewRomanPS-BoldMT" w:hAnsi="TimesNewRomanPS-BoldMT" w:cs="TimesNewRomanPS-BoldMT"/>
          <w:b/>
          <w:bCs/>
          <w:color w:val="222222"/>
          <w:sz w:val="28"/>
          <w:szCs w:val="28"/>
        </w:rPr>
      </w:pPr>
      <w:r>
        <w:rPr>
          <w:rFonts w:ascii="TimesNewRomanPS-BoldMT" w:hAnsi="TimesNewRomanPS-BoldMT" w:cs="TimesNewRomanPS-BoldMT"/>
          <w:b/>
          <w:bCs/>
          <w:color w:val="222222"/>
          <w:sz w:val="28"/>
          <w:szCs w:val="28"/>
        </w:rPr>
        <w:t>Religious Exemption Denial Steps</w:t>
      </w:r>
    </w:p>
    <w:p w14:paraId="3EF01C94" w14:textId="77777777" w:rsidR="007E4B70" w:rsidRDefault="007E4B70" w:rsidP="007E4B70">
      <w:pPr>
        <w:autoSpaceDE w:val="0"/>
        <w:autoSpaceDN w:val="0"/>
        <w:adjustRightInd w:val="0"/>
        <w:spacing w:after="0" w:line="240" w:lineRule="auto"/>
        <w:jc w:val="center"/>
        <w:rPr>
          <w:rFonts w:ascii="TimesNewRomanPS-BoldMT" w:hAnsi="TimesNewRomanPS-BoldMT" w:cs="TimesNewRomanPS-BoldMT"/>
          <w:b/>
          <w:bCs/>
          <w:color w:val="222222"/>
          <w:sz w:val="28"/>
          <w:szCs w:val="28"/>
        </w:rPr>
      </w:pPr>
    </w:p>
    <w:p w14:paraId="1C8535B5" w14:textId="298E88C0" w:rsidR="007E4B70" w:rsidRDefault="007E4B70" w:rsidP="007E4B70">
      <w:pPr>
        <w:autoSpaceDE w:val="0"/>
        <w:autoSpaceDN w:val="0"/>
        <w:adjustRightInd w:val="0"/>
        <w:spacing w:after="0" w:line="240" w:lineRule="auto"/>
        <w:rPr>
          <w:rFonts w:ascii="TimesNewRomanPSMT" w:hAnsi="TimesNewRomanPSMT" w:cs="TimesNewRomanPSMT"/>
          <w:color w:val="222222"/>
          <w:sz w:val="24"/>
          <w:szCs w:val="24"/>
        </w:rPr>
      </w:pPr>
      <w:r>
        <w:rPr>
          <w:rFonts w:ascii="TimesNewRomanPSMT" w:hAnsi="TimesNewRomanPSMT" w:cs="TimesNewRomanPSMT"/>
          <w:color w:val="222222"/>
          <w:sz w:val="24"/>
          <w:szCs w:val="24"/>
        </w:rPr>
        <w:t xml:space="preserve">1. Request that your employer provide you with the steps on how to appeal the denial. Follow those </w:t>
      </w:r>
      <w:r w:rsidR="00434A4C">
        <w:rPr>
          <w:rFonts w:ascii="TimesNewRomanPSMT" w:hAnsi="TimesNewRomanPSMT" w:cs="TimesNewRomanPSMT"/>
          <w:color w:val="222222"/>
          <w:sz w:val="24"/>
          <w:szCs w:val="24"/>
        </w:rPr>
        <w:t xml:space="preserve">appeal </w:t>
      </w:r>
      <w:r>
        <w:rPr>
          <w:rFonts w:ascii="TimesNewRomanPSMT" w:hAnsi="TimesNewRomanPSMT" w:cs="TimesNewRomanPSMT"/>
          <w:color w:val="222222"/>
          <w:sz w:val="24"/>
          <w:szCs w:val="24"/>
        </w:rPr>
        <w:t>steps, if any.</w:t>
      </w:r>
      <w:r w:rsidR="00434A4C">
        <w:rPr>
          <w:rFonts w:ascii="TimesNewRomanPSMT" w:hAnsi="TimesNewRomanPSMT" w:cs="TimesNewRomanPSMT"/>
          <w:color w:val="222222"/>
          <w:sz w:val="24"/>
          <w:szCs w:val="24"/>
        </w:rPr>
        <w:t xml:space="preserve"> Even if they say there is no appeal, review the PJI guidelines on requesting a religious exemption </w:t>
      </w:r>
      <w:hyperlink r:id="rId5" w:history="1">
        <w:r w:rsidR="00434A4C" w:rsidRPr="00283D98">
          <w:rPr>
            <w:rStyle w:val="Hyperlink"/>
            <w:rFonts w:ascii="TimesNewRomanPSMT" w:hAnsi="TimesNewRomanPSMT" w:cs="TimesNewRomanPSMT"/>
            <w:sz w:val="24"/>
            <w:szCs w:val="24"/>
          </w:rPr>
          <w:t>here</w:t>
        </w:r>
      </w:hyperlink>
      <w:r w:rsidR="00434A4C">
        <w:rPr>
          <w:rFonts w:ascii="TimesNewRomanPSMT" w:hAnsi="TimesNewRomanPSMT" w:cs="TimesNewRomanPSMT"/>
          <w:color w:val="222222"/>
          <w:sz w:val="24"/>
          <w:szCs w:val="24"/>
        </w:rPr>
        <w:t xml:space="preserve">. </w:t>
      </w:r>
      <w:r w:rsidR="00E147D1" w:rsidRPr="00E147D1">
        <w:rPr>
          <w:rFonts w:ascii="TimesNewRomanPSMT" w:hAnsi="TimesNewRomanPSMT" w:cs="TimesNewRomanPSMT"/>
          <w:color w:val="222222"/>
          <w:sz w:val="24"/>
          <w:szCs w:val="24"/>
        </w:rPr>
        <w:t xml:space="preserve">Submit a revised request if you think that is necessary, even if it is past the deadline. Your rights against religious discrimination under Title VII of the Civil Rights Act of 1964 can still be asserted. </w:t>
      </w:r>
      <w:r w:rsidR="00434A4C">
        <w:rPr>
          <w:rFonts w:ascii="TimesNewRomanPSMT" w:hAnsi="TimesNewRomanPSMT" w:cs="TimesNewRomanPSMT"/>
          <w:color w:val="222222"/>
          <w:sz w:val="24"/>
          <w:szCs w:val="24"/>
        </w:rPr>
        <w:t xml:space="preserve">Do not use form letters or letters you found online. It needs to be your personal beliefs. </w:t>
      </w:r>
    </w:p>
    <w:p w14:paraId="3D6A0F5C" w14:textId="77777777" w:rsidR="007E4B70" w:rsidRDefault="007E4B70" w:rsidP="007E4B70">
      <w:pPr>
        <w:autoSpaceDE w:val="0"/>
        <w:autoSpaceDN w:val="0"/>
        <w:adjustRightInd w:val="0"/>
        <w:spacing w:after="0" w:line="240" w:lineRule="auto"/>
        <w:rPr>
          <w:rFonts w:ascii="TimesNewRomanPSMT" w:hAnsi="TimesNewRomanPSMT" w:cs="TimesNewRomanPSMT"/>
          <w:color w:val="222222"/>
          <w:sz w:val="24"/>
          <w:szCs w:val="24"/>
        </w:rPr>
      </w:pPr>
    </w:p>
    <w:p w14:paraId="28DC1583" w14:textId="12B8513A" w:rsidR="007E4B70" w:rsidRDefault="007E4B70" w:rsidP="007E4B70">
      <w:pPr>
        <w:autoSpaceDE w:val="0"/>
        <w:autoSpaceDN w:val="0"/>
        <w:adjustRightInd w:val="0"/>
        <w:spacing w:after="0" w:line="240" w:lineRule="auto"/>
        <w:rPr>
          <w:rFonts w:ascii="TimesNewRomanPSMT" w:hAnsi="TimesNewRomanPSMT" w:cs="TimesNewRomanPSMT"/>
          <w:color w:val="272727"/>
          <w:sz w:val="24"/>
          <w:szCs w:val="24"/>
        </w:rPr>
      </w:pPr>
      <w:r>
        <w:rPr>
          <w:rFonts w:ascii="TimesNewRomanPSMT" w:hAnsi="TimesNewRomanPSMT" w:cs="TimesNewRomanPSMT"/>
          <w:color w:val="222222"/>
          <w:sz w:val="24"/>
          <w:szCs w:val="24"/>
        </w:rPr>
        <w:t xml:space="preserve">2. If the denial is final and you want to pursue the matter further, you must file a complaint with either the regional office of the </w:t>
      </w:r>
      <w:hyperlink r:id="rId6" w:history="1">
        <w:r w:rsidRPr="00696164">
          <w:rPr>
            <w:rStyle w:val="Hyperlink"/>
            <w:rFonts w:ascii="TimesNewRomanPSMT" w:hAnsi="TimesNewRomanPSMT" w:cs="TimesNewRomanPSMT"/>
            <w:sz w:val="24"/>
            <w:szCs w:val="24"/>
          </w:rPr>
          <w:t>U.S. Equal Employment Opportunity</w:t>
        </w:r>
      </w:hyperlink>
      <w:r>
        <w:rPr>
          <w:rFonts w:ascii="TimesNewRomanPSMT" w:hAnsi="TimesNewRomanPSMT" w:cs="TimesNewRomanPSMT"/>
          <w:color w:val="1155CD"/>
          <w:sz w:val="24"/>
          <w:szCs w:val="24"/>
        </w:rPr>
        <w:t xml:space="preserve"> Commission </w:t>
      </w:r>
      <w:r>
        <w:rPr>
          <w:rFonts w:ascii="TimesNewRomanPSMT" w:hAnsi="TimesNewRomanPSMT" w:cs="TimesNewRomanPSMT"/>
          <w:color w:val="222222"/>
          <w:sz w:val="24"/>
          <w:szCs w:val="24"/>
        </w:rPr>
        <w:t xml:space="preserve">(EEOC) or your State's equivalent. </w:t>
      </w:r>
      <w:r>
        <w:rPr>
          <w:rFonts w:ascii="TimesNewRomanPSMT" w:hAnsi="TimesNewRomanPSMT" w:cs="TimesNewRomanPSMT"/>
          <w:color w:val="272727"/>
          <w:sz w:val="24"/>
          <w:szCs w:val="24"/>
        </w:rPr>
        <w:t>Note that some states may require you to file with them in order to preserve specific state rights.</w:t>
      </w:r>
    </w:p>
    <w:p w14:paraId="1E321B4F" w14:textId="77777777" w:rsidR="008E26E6" w:rsidRDefault="008E26E6" w:rsidP="007E4B70">
      <w:pPr>
        <w:autoSpaceDE w:val="0"/>
        <w:autoSpaceDN w:val="0"/>
        <w:adjustRightInd w:val="0"/>
        <w:spacing w:after="0" w:line="240" w:lineRule="auto"/>
        <w:rPr>
          <w:rFonts w:ascii="TimesNewRomanPSMT" w:hAnsi="TimesNewRomanPSMT" w:cs="TimesNewRomanPSMT"/>
          <w:color w:val="272727"/>
          <w:sz w:val="24"/>
          <w:szCs w:val="24"/>
        </w:rPr>
      </w:pPr>
    </w:p>
    <w:p w14:paraId="034E5B94" w14:textId="77777777" w:rsidR="008E26E6" w:rsidRDefault="008E26E6" w:rsidP="007E4B70">
      <w:pPr>
        <w:autoSpaceDE w:val="0"/>
        <w:autoSpaceDN w:val="0"/>
        <w:adjustRightInd w:val="0"/>
        <w:spacing w:after="0" w:line="240" w:lineRule="auto"/>
        <w:rPr>
          <w:rFonts w:ascii="TimesNewRomanPSMT" w:hAnsi="TimesNewRomanPSMT" w:cs="TimesNewRomanPSMT"/>
          <w:color w:val="272727"/>
          <w:sz w:val="24"/>
          <w:szCs w:val="24"/>
        </w:rPr>
      </w:pPr>
      <w:r>
        <w:rPr>
          <w:rFonts w:ascii="TimesNewRomanPSMT" w:hAnsi="TimesNewRomanPSMT" w:cs="TimesNewRomanPSMT"/>
          <w:color w:val="272727"/>
          <w:sz w:val="24"/>
          <w:szCs w:val="24"/>
        </w:rPr>
        <w:t xml:space="preserve">3. What constitutes a violation? When an employer requires an action that violates your sincerely held religious beliefs, and you communicate those beliefs to your employer, the employer should then meet with you to discuss ways to accommodate your beliefs. Only if all reasonable accommodations would create an undue hardship on your employer can they move to dismiss you. </w:t>
      </w:r>
    </w:p>
    <w:p w14:paraId="701BE0E1" w14:textId="77777777" w:rsidR="007E4B70" w:rsidRPr="007E4B70" w:rsidRDefault="007E4B70" w:rsidP="007E4B70">
      <w:pPr>
        <w:autoSpaceDE w:val="0"/>
        <w:autoSpaceDN w:val="0"/>
        <w:adjustRightInd w:val="0"/>
        <w:spacing w:after="0" w:line="240" w:lineRule="auto"/>
        <w:rPr>
          <w:rFonts w:ascii="TimesNewRomanPSMT" w:hAnsi="TimesNewRomanPSMT" w:cs="TimesNewRomanPSMT"/>
          <w:color w:val="222222"/>
          <w:sz w:val="24"/>
          <w:szCs w:val="24"/>
        </w:rPr>
      </w:pPr>
    </w:p>
    <w:p w14:paraId="788F06B5" w14:textId="77777777" w:rsidR="007E4B70" w:rsidRDefault="008E26E6" w:rsidP="007E4B70">
      <w:pPr>
        <w:autoSpaceDE w:val="0"/>
        <w:autoSpaceDN w:val="0"/>
        <w:adjustRightInd w:val="0"/>
        <w:spacing w:after="0" w:line="240" w:lineRule="auto"/>
        <w:rPr>
          <w:rFonts w:ascii="TimesNewRomanPSMT" w:hAnsi="TimesNewRomanPSMT" w:cs="TimesNewRomanPSMT"/>
          <w:color w:val="272727"/>
          <w:sz w:val="24"/>
          <w:szCs w:val="24"/>
        </w:rPr>
      </w:pPr>
      <w:r>
        <w:rPr>
          <w:rFonts w:ascii="TimesNewRomanPSMT" w:hAnsi="TimesNewRomanPSMT" w:cs="TimesNewRomanPSMT"/>
          <w:color w:val="272727"/>
          <w:sz w:val="24"/>
          <w:szCs w:val="24"/>
        </w:rPr>
        <w:t>3. After you file your complaint, the</w:t>
      </w:r>
      <w:r w:rsidR="007E4B70">
        <w:rPr>
          <w:rFonts w:ascii="TimesNewRomanPSMT" w:hAnsi="TimesNewRomanPSMT" w:cs="TimesNewRomanPSMT"/>
          <w:color w:val="272727"/>
          <w:sz w:val="24"/>
          <w:szCs w:val="24"/>
        </w:rPr>
        <w:t xml:space="preserve"> matter will either be resolved by the government agency or you will receive a </w:t>
      </w:r>
      <w:r w:rsidR="007E4B70">
        <w:rPr>
          <w:rFonts w:ascii="TimesNewRomanPS-ItalicMT" w:hAnsi="TimesNewRomanPS-ItalicMT" w:cs="TimesNewRomanPS-ItalicMT"/>
          <w:i/>
          <w:iCs/>
          <w:color w:val="272727"/>
          <w:sz w:val="24"/>
          <w:szCs w:val="24"/>
        </w:rPr>
        <w:t>right to sue letter</w:t>
      </w:r>
      <w:r w:rsidR="007E4B70">
        <w:rPr>
          <w:rFonts w:ascii="TimesNewRomanPSMT" w:hAnsi="TimesNewRomanPSMT" w:cs="TimesNewRomanPSMT"/>
          <w:color w:val="272727"/>
          <w:sz w:val="24"/>
          <w:szCs w:val="24"/>
        </w:rPr>
        <w:t>. It is important to go through either the EEOC or your State's equivalent before you</w:t>
      </w:r>
      <w:r w:rsidR="007E4B70">
        <w:rPr>
          <w:rFonts w:ascii="TimesNewRomanPS-ItalicMT" w:hAnsi="TimesNewRomanPS-ItalicMT" w:cs="TimesNewRomanPS-ItalicMT"/>
          <w:i/>
          <w:iCs/>
          <w:color w:val="272727"/>
          <w:sz w:val="24"/>
          <w:szCs w:val="24"/>
        </w:rPr>
        <w:t xml:space="preserve"> </w:t>
      </w:r>
      <w:r w:rsidR="007E4B70">
        <w:rPr>
          <w:rFonts w:ascii="TimesNewRomanPSMT" w:hAnsi="TimesNewRomanPSMT" w:cs="TimesNewRomanPSMT"/>
          <w:color w:val="272727"/>
          <w:sz w:val="24"/>
          <w:szCs w:val="24"/>
        </w:rPr>
        <w:t>can bring a matter to court. Courts will throw employment cases out if this process is not</w:t>
      </w:r>
      <w:r w:rsidR="007E4B70">
        <w:rPr>
          <w:rFonts w:ascii="TimesNewRomanPS-ItalicMT" w:hAnsi="TimesNewRomanPS-ItalicMT" w:cs="TimesNewRomanPS-ItalicMT"/>
          <w:i/>
          <w:iCs/>
          <w:color w:val="272727"/>
          <w:sz w:val="24"/>
          <w:szCs w:val="24"/>
        </w:rPr>
        <w:t xml:space="preserve"> </w:t>
      </w:r>
      <w:r w:rsidR="007E4B70">
        <w:rPr>
          <w:rFonts w:ascii="TimesNewRomanPSMT" w:hAnsi="TimesNewRomanPSMT" w:cs="TimesNewRomanPSMT"/>
          <w:color w:val="272727"/>
          <w:sz w:val="24"/>
          <w:szCs w:val="24"/>
        </w:rPr>
        <w:t xml:space="preserve">followed. There are often </w:t>
      </w:r>
      <w:r w:rsidR="007E4B70">
        <w:rPr>
          <w:rFonts w:ascii="TimesNewRomanPSMT" w:hAnsi="TimesNewRomanPSMT" w:cs="TimesNewRomanPSMT"/>
          <w:color w:val="1155CD"/>
          <w:sz w:val="24"/>
          <w:szCs w:val="24"/>
        </w:rPr>
        <w:t xml:space="preserve">strict time limits </w:t>
      </w:r>
      <w:r w:rsidR="007E4B70">
        <w:rPr>
          <w:rFonts w:ascii="TimesNewRomanPSMT" w:hAnsi="TimesNewRomanPSMT" w:cs="TimesNewRomanPSMT"/>
          <w:color w:val="272727"/>
          <w:sz w:val="24"/>
          <w:szCs w:val="24"/>
        </w:rPr>
        <w:t>on filing with the EEOC. Some states will have time</w:t>
      </w:r>
      <w:r w:rsidR="007E4B70">
        <w:rPr>
          <w:rFonts w:ascii="TimesNewRomanPS-ItalicMT" w:hAnsi="TimesNewRomanPS-ItalicMT" w:cs="TimesNewRomanPS-ItalicMT"/>
          <w:i/>
          <w:iCs/>
          <w:color w:val="272727"/>
          <w:sz w:val="24"/>
          <w:szCs w:val="24"/>
        </w:rPr>
        <w:t xml:space="preserve"> </w:t>
      </w:r>
      <w:r w:rsidR="007E4B70">
        <w:rPr>
          <w:rFonts w:ascii="TimesNewRomanPSMT" w:hAnsi="TimesNewRomanPSMT" w:cs="TimesNewRomanPSMT"/>
          <w:color w:val="272727"/>
          <w:sz w:val="24"/>
          <w:szCs w:val="24"/>
        </w:rPr>
        <w:t>limits that are unique to them.</w:t>
      </w:r>
    </w:p>
    <w:p w14:paraId="22013EF9" w14:textId="77777777" w:rsidR="007E4B70" w:rsidRPr="007E4B70" w:rsidRDefault="007E4B70" w:rsidP="007E4B70">
      <w:pPr>
        <w:autoSpaceDE w:val="0"/>
        <w:autoSpaceDN w:val="0"/>
        <w:adjustRightInd w:val="0"/>
        <w:spacing w:after="0" w:line="240" w:lineRule="auto"/>
        <w:rPr>
          <w:rFonts w:ascii="TimesNewRomanPS-ItalicMT" w:hAnsi="TimesNewRomanPS-ItalicMT" w:cs="TimesNewRomanPS-ItalicMT"/>
          <w:i/>
          <w:iCs/>
          <w:color w:val="272727"/>
          <w:sz w:val="24"/>
          <w:szCs w:val="24"/>
        </w:rPr>
      </w:pPr>
    </w:p>
    <w:p w14:paraId="24D99B9E" w14:textId="77777777" w:rsidR="007E4B70" w:rsidRDefault="007E4B70" w:rsidP="007E4B70">
      <w:pPr>
        <w:autoSpaceDE w:val="0"/>
        <w:autoSpaceDN w:val="0"/>
        <w:adjustRightInd w:val="0"/>
        <w:spacing w:after="0" w:line="240" w:lineRule="auto"/>
        <w:rPr>
          <w:rFonts w:ascii="TimesNewRomanPSMT" w:hAnsi="TimesNewRomanPSMT" w:cs="TimesNewRomanPSMT"/>
          <w:color w:val="272727"/>
          <w:sz w:val="24"/>
          <w:szCs w:val="24"/>
        </w:rPr>
      </w:pPr>
      <w:r>
        <w:rPr>
          <w:rFonts w:ascii="TimesNewRomanPSMT" w:hAnsi="TimesNewRomanPSMT" w:cs="TimesNewRomanPSMT"/>
          <w:color w:val="272727"/>
          <w:sz w:val="24"/>
          <w:szCs w:val="24"/>
        </w:rPr>
        <w:t>4. After you receive a right to sue letter from either the EEOC or the State agency, you may contact the PJI Legal Dept. to review your records and determine if you have a viable case in which we can represent you or refer you to an employment law attorney.</w:t>
      </w:r>
    </w:p>
    <w:p w14:paraId="4B33C8FA" w14:textId="77777777" w:rsidR="007E4B70" w:rsidRDefault="007E4B70" w:rsidP="007E4B70">
      <w:pPr>
        <w:autoSpaceDE w:val="0"/>
        <w:autoSpaceDN w:val="0"/>
        <w:adjustRightInd w:val="0"/>
        <w:spacing w:after="0" w:line="240" w:lineRule="auto"/>
        <w:rPr>
          <w:rFonts w:ascii="TimesNewRomanPSMT" w:hAnsi="TimesNewRomanPSMT" w:cs="TimesNewRomanPSMT"/>
          <w:color w:val="272727"/>
          <w:sz w:val="24"/>
          <w:szCs w:val="24"/>
        </w:rPr>
      </w:pPr>
    </w:p>
    <w:p w14:paraId="1CB1EABA" w14:textId="77777777" w:rsidR="007E4B70" w:rsidRDefault="007E4B70" w:rsidP="007E4B70">
      <w:pPr>
        <w:autoSpaceDE w:val="0"/>
        <w:autoSpaceDN w:val="0"/>
        <w:adjustRightInd w:val="0"/>
        <w:spacing w:after="0" w:line="240" w:lineRule="auto"/>
        <w:rPr>
          <w:rFonts w:ascii="TimesNewRomanPS-BoldMT" w:hAnsi="TimesNewRomanPS-BoldMT" w:cs="TimesNewRomanPS-BoldMT"/>
          <w:b/>
          <w:bCs/>
          <w:color w:val="222222"/>
          <w:sz w:val="24"/>
          <w:szCs w:val="24"/>
        </w:rPr>
      </w:pPr>
      <w:r>
        <w:rPr>
          <w:rFonts w:ascii="TimesNewRomanPS-BoldMT" w:hAnsi="TimesNewRomanPS-BoldMT" w:cs="TimesNewRomanPS-BoldMT"/>
          <w:b/>
          <w:bCs/>
          <w:color w:val="222222"/>
          <w:sz w:val="24"/>
          <w:szCs w:val="24"/>
        </w:rPr>
        <w:t>The EEOC and equivalent state agency processes are designed to be used by individuals and do not require a lawyer to be involved.</w:t>
      </w:r>
    </w:p>
    <w:p w14:paraId="7086951E" w14:textId="77777777" w:rsidR="007E4B70" w:rsidRDefault="007E4B70" w:rsidP="007E4B70">
      <w:pPr>
        <w:autoSpaceDE w:val="0"/>
        <w:autoSpaceDN w:val="0"/>
        <w:adjustRightInd w:val="0"/>
        <w:spacing w:after="0" w:line="240" w:lineRule="auto"/>
        <w:rPr>
          <w:rFonts w:ascii="TimesNewRomanPS-BoldMT" w:hAnsi="TimesNewRomanPS-BoldMT" w:cs="TimesNewRomanPS-BoldMT"/>
          <w:b/>
          <w:bCs/>
          <w:color w:val="222222"/>
          <w:sz w:val="24"/>
          <w:szCs w:val="24"/>
        </w:rPr>
      </w:pPr>
    </w:p>
    <w:p w14:paraId="76139EE6" w14:textId="77777777" w:rsidR="007E4B70" w:rsidRDefault="007E4B70" w:rsidP="007E4B7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Due to the extraordinary volume of requests, we are receiving at this time, PJI is unable to review and comment on every exemption letter being sent to us. Following the above guidelines should, however, put you in the strongest position to either have your request granted, or to contest its denial.</w:t>
      </w:r>
    </w:p>
    <w:p w14:paraId="69C3D942" w14:textId="77777777" w:rsidR="007E4B70" w:rsidRDefault="007E4B70" w:rsidP="007E4B70">
      <w:pPr>
        <w:autoSpaceDE w:val="0"/>
        <w:autoSpaceDN w:val="0"/>
        <w:adjustRightInd w:val="0"/>
        <w:spacing w:after="0" w:line="240" w:lineRule="auto"/>
        <w:rPr>
          <w:rFonts w:ascii="TimesNewRomanPSMT" w:hAnsi="TimesNewRomanPSMT" w:cs="TimesNewRomanPSMT"/>
          <w:color w:val="000000"/>
          <w:sz w:val="24"/>
          <w:szCs w:val="24"/>
        </w:rPr>
      </w:pPr>
    </w:p>
    <w:p w14:paraId="1972B4FC" w14:textId="77777777" w:rsidR="007E4B70" w:rsidRDefault="007E4B70" w:rsidP="007E4B7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Regards,</w:t>
      </w:r>
    </w:p>
    <w:p w14:paraId="6095F2A0" w14:textId="77777777" w:rsidR="007E4B70" w:rsidRDefault="007E4B70" w:rsidP="007E4B70">
      <w:pPr>
        <w:autoSpaceDE w:val="0"/>
        <w:autoSpaceDN w:val="0"/>
        <w:adjustRightInd w:val="0"/>
        <w:spacing w:after="0" w:line="240" w:lineRule="auto"/>
        <w:rPr>
          <w:rFonts w:ascii="TimesNewRomanPSMT" w:hAnsi="TimesNewRomanPSMT" w:cs="TimesNewRomanPSMT"/>
          <w:color w:val="000000"/>
          <w:sz w:val="24"/>
          <w:szCs w:val="24"/>
        </w:rPr>
      </w:pPr>
    </w:p>
    <w:p w14:paraId="7389BE1C" w14:textId="77777777" w:rsidR="007E4B70" w:rsidRDefault="007E4B70" w:rsidP="007E4B70">
      <w:r>
        <w:rPr>
          <w:rFonts w:ascii="TimesNewRomanPSMT" w:hAnsi="TimesNewRomanPSMT" w:cs="TimesNewRomanPSMT"/>
          <w:color w:val="000000"/>
          <w:sz w:val="24"/>
          <w:szCs w:val="24"/>
        </w:rPr>
        <w:t>PJI Legal Team</w:t>
      </w:r>
    </w:p>
    <w:sectPr w:rsidR="007E4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TimesNewRomanPS-ItalicMT">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C9BCDA-3424-4E40-9B6C-5A816D179338}"/>
    <w:docVar w:name="dgnword-eventsink" w:val="410923784"/>
  </w:docVars>
  <w:rsids>
    <w:rsidRoot w:val="007E4B70"/>
    <w:rsid w:val="002575EF"/>
    <w:rsid w:val="00283D98"/>
    <w:rsid w:val="00434A4C"/>
    <w:rsid w:val="00696164"/>
    <w:rsid w:val="007322CE"/>
    <w:rsid w:val="007E4B70"/>
    <w:rsid w:val="008E26E6"/>
    <w:rsid w:val="00E1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E297"/>
  <w15:chartTrackingRefBased/>
  <w15:docId w15:val="{A00BFCD9-4E08-4E55-8082-52C5AECA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B70"/>
    <w:pPr>
      <w:ind w:left="720"/>
      <w:contextualSpacing/>
    </w:pPr>
  </w:style>
  <w:style w:type="character" w:styleId="Hyperlink">
    <w:name w:val="Hyperlink"/>
    <w:basedOn w:val="DefaultParagraphFont"/>
    <w:uiPriority w:val="99"/>
    <w:unhideWhenUsed/>
    <w:rsid w:val="00283D98"/>
    <w:rPr>
      <w:color w:val="0563C1" w:themeColor="hyperlink"/>
      <w:u w:val="single"/>
    </w:rPr>
  </w:style>
  <w:style w:type="character" w:styleId="UnresolvedMention">
    <w:name w:val="Unresolved Mention"/>
    <w:basedOn w:val="DefaultParagraphFont"/>
    <w:uiPriority w:val="99"/>
    <w:semiHidden/>
    <w:unhideWhenUsed/>
    <w:rsid w:val="00283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eoc.gov/filing-charge-discrimination" TargetMode="External"/><Relationship Id="rId5" Type="http://schemas.openxmlformats.org/officeDocument/2006/relationships/hyperlink" Target="https://www.churchrights.org/pji-covid-resource-page-394e89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hackenberg</dc:creator>
  <cp:keywords/>
  <dc:description/>
  <cp:lastModifiedBy>Brad Dacus</cp:lastModifiedBy>
  <cp:revision>5</cp:revision>
  <dcterms:created xsi:type="dcterms:W3CDTF">2021-10-04T14:56:00Z</dcterms:created>
  <dcterms:modified xsi:type="dcterms:W3CDTF">2021-12-03T23:38:00Z</dcterms:modified>
</cp:coreProperties>
</file>